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D1" w:rsidRPr="003334D1" w:rsidRDefault="003334D1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sz w:val="26"/>
          <w:u w:val="single"/>
          <w:lang w:val="en-US"/>
        </w:rPr>
      </w:pPr>
      <w:proofErr w:type="spellStart"/>
      <w:r w:rsidRPr="003334D1">
        <w:rPr>
          <w:rFonts w:ascii="TTE226D900t00" w:hAnsi="TTE226D900t00" w:cs="TTE226D900t00"/>
          <w:b/>
          <w:sz w:val="26"/>
          <w:u w:val="single"/>
          <w:lang w:val="en-US"/>
        </w:rPr>
        <w:t>MSc</w:t>
      </w:r>
      <w:proofErr w:type="spellEnd"/>
      <w:r w:rsidRPr="003334D1">
        <w:rPr>
          <w:rFonts w:ascii="TTE226D900t00" w:hAnsi="TTE226D900t00" w:cs="TTE226D900t00"/>
          <w:b/>
          <w:sz w:val="26"/>
          <w:u w:val="single"/>
          <w:lang w:val="en-US"/>
        </w:rPr>
        <w:t>. Th. Proposal – Master in Artificial Intelligence</w:t>
      </w:r>
    </w:p>
    <w:p w:rsidR="003334D1" w:rsidRDefault="003334D1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n-US"/>
        </w:rPr>
      </w:pPr>
    </w:p>
    <w:p w:rsidR="003334D1" w:rsidRPr="003334D1" w:rsidRDefault="003334D1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n-US"/>
        </w:rPr>
      </w:pPr>
    </w:p>
    <w:p w:rsidR="003F4A09" w:rsidRP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b/>
          <w:lang w:val="es-ES"/>
        </w:rPr>
      </w:pPr>
      <w:r w:rsidRPr="003F4A09">
        <w:rPr>
          <w:rFonts w:ascii="TTE226D900t00" w:hAnsi="TTE226D900t00" w:cs="TTE226D900t00"/>
          <w:b/>
          <w:lang w:val="es-ES"/>
        </w:rPr>
        <w:t>Interoperabilidad semántica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proofErr w:type="spellStart"/>
      <w:r>
        <w:rPr>
          <w:rFonts w:ascii="TTE226D900t00" w:hAnsi="TTE226D900t00" w:cs="TTE226D900t00"/>
          <w:lang w:val="es-ES"/>
        </w:rPr>
        <w:t>Contact</w:t>
      </w:r>
      <w:proofErr w:type="spellEnd"/>
      <w:r>
        <w:rPr>
          <w:rFonts w:ascii="TTE226D900t00" w:hAnsi="TTE226D900t00" w:cs="TTE226D900t00"/>
          <w:lang w:val="es-ES"/>
        </w:rPr>
        <w:t xml:space="preserve"> </w:t>
      </w:r>
      <w:proofErr w:type="spellStart"/>
      <w:r>
        <w:rPr>
          <w:rFonts w:ascii="TTE226D900t00" w:hAnsi="TTE226D900t00" w:cs="TTE226D900t00"/>
          <w:lang w:val="es-ES"/>
        </w:rPr>
        <w:t>person</w:t>
      </w:r>
      <w:proofErr w:type="spellEnd"/>
      <w:r>
        <w:rPr>
          <w:rFonts w:ascii="TTE226D900t00" w:hAnsi="TTE226D900t00" w:cs="TTE226D900t00"/>
          <w:lang w:val="es-ES"/>
        </w:rPr>
        <w:t>: Luis Rodríguez (</w:t>
      </w:r>
      <w:proofErr w:type="spellStart"/>
      <w:r>
        <w:rPr>
          <w:rFonts w:ascii="TTE226D900t00" w:hAnsi="TTE226D900t00" w:cs="TTE226D900t00"/>
          <w:lang w:val="es-ES"/>
        </w:rPr>
        <w:t>iSOCO</w:t>
      </w:r>
      <w:proofErr w:type="spellEnd"/>
      <w:r>
        <w:rPr>
          <w:rFonts w:ascii="TTE226D900t00" w:hAnsi="TTE226D900t00" w:cs="TTE226D900t00"/>
          <w:lang w:val="es-ES"/>
        </w:rPr>
        <w:t>)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r>
        <w:rPr>
          <w:rFonts w:ascii="TTE226D900t00" w:hAnsi="TTE226D900t00" w:cs="TTE226D900t00"/>
          <w:lang w:val="es-ES"/>
        </w:rPr>
        <w:t xml:space="preserve">e-mail: </w:t>
      </w:r>
      <w:hyperlink r:id="rId4" w:history="1">
        <w:r w:rsidRPr="00D465DF">
          <w:rPr>
            <w:rStyle w:val="Enlla"/>
            <w:rFonts w:ascii="TTE226D900t00" w:hAnsi="TTE226D900t00" w:cs="TTE226D900t00"/>
            <w:lang w:val="es-ES"/>
          </w:rPr>
          <w:t>lrodriguez@isoco.com</w:t>
        </w:r>
      </w:hyperlink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  <w:proofErr w:type="spellStart"/>
      <w:r>
        <w:rPr>
          <w:rFonts w:ascii="TTE226D900t00" w:hAnsi="TTE226D900t00" w:cs="TTE226D900t00"/>
          <w:lang w:val="es-ES"/>
        </w:rPr>
        <w:t>Description</w:t>
      </w:r>
      <w:proofErr w:type="spellEnd"/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>La interoperabilidad entre sistemas es clave para la expansión y promoción del negocio electrónico. Mientras que entre grandes empresas este aspecto se intenta resolver con importantes inversiones en sistemas y arquitecturas que faciliten la conectividad, las PYMES típicamente sufren al tener que adaptar sus procesos operativos a una miríada de interfaces, requisitos de formatos, puntos de conexión etc.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 xml:space="preserve">Dentro del ámbito de este proyecto se propone incorporar los resultados del proyecto </w:t>
      </w:r>
      <w:proofErr w:type="spellStart"/>
      <w:r>
        <w:rPr>
          <w:rFonts w:ascii="TTE225D590t00" w:hAnsi="TTE225D590t00" w:cs="TTE225D590t00"/>
          <w:lang w:val="es-ES"/>
        </w:rPr>
        <w:t>NeOn</w:t>
      </w:r>
      <w:proofErr w:type="spellEnd"/>
      <w:r>
        <w:rPr>
          <w:rFonts w:ascii="TTE225D590t00" w:hAnsi="TTE225D590t00" w:cs="TTE225D590t00"/>
          <w:lang w:val="es-ES"/>
        </w:rPr>
        <w:t>, que utilizaba como un caso de uso la investigación de la interoperabilidad semántica aplicada a la facturación electrónica, a la plataforma de facturación PHARMAINNOVA.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 xml:space="preserve">Los resultados de la investigación realizada en </w:t>
      </w:r>
      <w:proofErr w:type="spellStart"/>
      <w:r>
        <w:rPr>
          <w:rFonts w:ascii="TTE225D590t00" w:hAnsi="TTE225D590t00" w:cs="TTE225D590t00"/>
          <w:lang w:val="es-ES"/>
        </w:rPr>
        <w:t>NeOn</w:t>
      </w:r>
      <w:proofErr w:type="spellEnd"/>
      <w:r>
        <w:rPr>
          <w:rFonts w:ascii="TTE225D590t00" w:hAnsi="TTE225D590t00" w:cs="TTE225D590t00"/>
          <w:lang w:val="es-ES"/>
        </w:rPr>
        <w:t xml:space="preserve"> permitirían eliminar la necesidad de crear APIS de integración para los distintos proveedores, proporcionando una herramienta de fácil uso basada en tecnología semántica que permite al proveedor generar su propio </w:t>
      </w:r>
      <w:proofErr w:type="spellStart"/>
      <w:r>
        <w:rPr>
          <w:rFonts w:ascii="TTE225D590t00" w:hAnsi="TTE225D590t00" w:cs="TTE225D590t00"/>
          <w:lang w:val="es-ES"/>
        </w:rPr>
        <w:t>conversor</w:t>
      </w:r>
      <w:proofErr w:type="spellEnd"/>
      <w:r>
        <w:rPr>
          <w:rFonts w:ascii="TTE225D590t00" w:hAnsi="TTE225D590t00" w:cs="TTE225D590t00"/>
          <w:lang w:val="es-ES"/>
        </w:rPr>
        <w:t xml:space="preserve"> de formato vía un interfaz Web. Esto no había podido hacerse antes, ya que el estado de la tecnología no había alcanzado el grado de madurez necesaria.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 xml:space="preserve">Para trasladar esta innovación al mercado es necesario convertir el prototipo obtenido </w:t>
      </w:r>
      <w:proofErr w:type="spellStart"/>
      <w:r>
        <w:rPr>
          <w:rFonts w:ascii="TTE225D590t00" w:hAnsi="TTE225D590t00" w:cs="TTE225D590t00"/>
          <w:lang w:val="es-ES"/>
        </w:rPr>
        <w:t>comoresultado</w:t>
      </w:r>
      <w:proofErr w:type="spellEnd"/>
      <w:r>
        <w:rPr>
          <w:rFonts w:ascii="TTE225D590t00" w:hAnsi="TTE225D590t00" w:cs="TTE225D590t00"/>
          <w:lang w:val="es-ES"/>
        </w:rPr>
        <w:t xml:space="preserve"> del proyecto de investigación, que se muestra en la siguiente imagen, en una herramienta sólida que soporte el uso continuado por cientos de empresas.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rPr>
          <w:rFonts w:ascii="TTE226D900t00" w:hAnsi="TTE226D900t00" w:cs="TTE226D90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rPr>
          <w:rFonts w:ascii="TTE226D900t00" w:hAnsi="TTE226D900t00" w:cs="TTE226D900t00"/>
          <w:lang w:val="es-ES"/>
        </w:rPr>
      </w:pPr>
    </w:p>
    <w:p w:rsidR="003F4A09" w:rsidRDefault="00BF2570" w:rsidP="00BF2570">
      <w:pPr>
        <w:autoSpaceDE w:val="0"/>
        <w:autoSpaceDN w:val="0"/>
        <w:adjustRightInd w:val="0"/>
        <w:spacing w:after="0" w:line="240" w:lineRule="auto"/>
        <w:jc w:val="center"/>
        <w:rPr>
          <w:rFonts w:ascii="TTE226D900t00" w:hAnsi="TTE226D900t00" w:cs="TTE226D900t00"/>
          <w:lang w:val="es-ES"/>
        </w:rPr>
      </w:pPr>
      <w:r>
        <w:rPr>
          <w:rFonts w:ascii="TTE226D900t00" w:hAnsi="TTE226D900t00" w:cs="TTE226D900t00"/>
          <w:noProof/>
          <w:lang w:val="es-ES" w:eastAsia="es-ES"/>
        </w:rPr>
        <w:lastRenderedPageBreak/>
        <w:drawing>
          <wp:inline distT="0" distB="0" distL="0" distR="0">
            <wp:extent cx="5267325" cy="4234643"/>
            <wp:effectExtent l="19050" t="0" r="952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345" cy="424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rPr>
          <w:rFonts w:ascii="TTE226D900t00" w:hAnsi="TTE226D900t00" w:cs="TTE226D900t00"/>
          <w:lang w:val="es-ES"/>
        </w:rPr>
      </w:pPr>
    </w:p>
    <w:p w:rsidR="003F4A09" w:rsidRPr="003F4A09" w:rsidRDefault="003F4A09" w:rsidP="003F4A09">
      <w:pPr>
        <w:autoSpaceDE w:val="0"/>
        <w:autoSpaceDN w:val="0"/>
        <w:adjustRightInd w:val="0"/>
        <w:spacing w:after="0" w:line="240" w:lineRule="auto"/>
        <w:jc w:val="center"/>
        <w:rPr>
          <w:rFonts w:ascii="TTE226D900t00" w:hAnsi="TTE226D900t00" w:cs="TTE226D900t00"/>
          <w:b/>
          <w:lang w:val="es-ES"/>
        </w:rPr>
      </w:pPr>
      <w:r w:rsidRPr="003F4A09">
        <w:rPr>
          <w:rFonts w:ascii="TTE226D900t00" w:hAnsi="TTE226D900t00" w:cs="TTE226D900t00"/>
          <w:b/>
          <w:lang w:val="es-ES"/>
        </w:rPr>
        <w:t xml:space="preserve">El prototipo </w:t>
      </w:r>
      <w:proofErr w:type="spellStart"/>
      <w:r w:rsidRPr="003F4A09">
        <w:rPr>
          <w:rFonts w:ascii="TTE226D900t00" w:hAnsi="TTE226D900t00" w:cs="TTE226D900t00"/>
          <w:b/>
          <w:lang w:val="es-ES"/>
        </w:rPr>
        <w:t>NeOn</w:t>
      </w:r>
      <w:proofErr w:type="spellEnd"/>
    </w:p>
    <w:p w:rsidR="003F4A09" w:rsidRDefault="003F4A09" w:rsidP="003F4A09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ab/>
      </w:r>
    </w:p>
    <w:p w:rsidR="00B720D8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>Es este un claro ejemplo de cómo capitalizar los resultados de una investigación ya completada, trasladando la innovación al mercado para el beneficio del colectivo objetivo.</w:t>
      </w: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</w:p>
    <w:p w:rsidR="003F4A09" w:rsidRPr="003F4A09" w:rsidRDefault="003F4A09" w:rsidP="003F4A09">
      <w:pPr>
        <w:autoSpaceDE w:val="0"/>
        <w:autoSpaceDN w:val="0"/>
        <w:adjustRightInd w:val="0"/>
        <w:spacing w:after="0" w:line="240" w:lineRule="auto"/>
        <w:jc w:val="both"/>
        <w:rPr>
          <w:rFonts w:ascii="TTE225D590t00" w:hAnsi="TTE225D590t00" w:cs="TTE225D590t00"/>
          <w:lang w:val="es-ES"/>
        </w:rPr>
      </w:pPr>
      <w:r>
        <w:rPr>
          <w:rFonts w:ascii="TTE225D590t00" w:hAnsi="TTE225D590t00" w:cs="TTE225D590t00"/>
          <w:lang w:val="es-ES"/>
        </w:rPr>
        <w:t xml:space="preserve">Barcelona, </w:t>
      </w:r>
      <w:proofErr w:type="spellStart"/>
      <w:r>
        <w:rPr>
          <w:rFonts w:ascii="TTE225D590t00" w:hAnsi="TTE225D590t00" w:cs="TTE225D590t00"/>
          <w:lang w:val="es-ES"/>
        </w:rPr>
        <w:t>March</w:t>
      </w:r>
      <w:proofErr w:type="spellEnd"/>
      <w:r>
        <w:rPr>
          <w:rFonts w:ascii="TTE225D590t00" w:hAnsi="TTE225D590t00" w:cs="TTE225D590t00"/>
          <w:lang w:val="es-ES"/>
        </w:rPr>
        <w:t xml:space="preserve"> 2010</w:t>
      </w:r>
    </w:p>
    <w:sectPr w:rsidR="003F4A09" w:rsidRPr="003F4A09" w:rsidSect="00B72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26D9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25D5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A09"/>
    <w:rsid w:val="00312C0B"/>
    <w:rsid w:val="003334D1"/>
    <w:rsid w:val="003F4A09"/>
    <w:rsid w:val="004A25EA"/>
    <w:rsid w:val="00610EF1"/>
    <w:rsid w:val="00B720D8"/>
    <w:rsid w:val="00BF2570"/>
    <w:rsid w:val="00F7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0D8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F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F4A09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3F4A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lrodriguez@isoc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de Càlcul de LSI</dc:creator>
  <cp:keywords/>
  <dc:description/>
  <cp:lastModifiedBy>Lab. de Càlcul de LSI</cp:lastModifiedBy>
  <cp:revision>3</cp:revision>
  <dcterms:created xsi:type="dcterms:W3CDTF">2010-08-06T11:18:00Z</dcterms:created>
  <dcterms:modified xsi:type="dcterms:W3CDTF">2010-08-06T11:49:00Z</dcterms:modified>
</cp:coreProperties>
</file>